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8" w:rsidRDefault="007063A8" w:rsidP="007063A8">
      <w:pPr>
        <w:pStyle w:val="Heading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Solubility Curves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solubility of a substance in a solvent is the </w:t>
      </w:r>
      <w:r>
        <w:rPr>
          <w:rFonts w:ascii="Tahoma" w:hAnsi="Tahoma" w:cs="Tahoma"/>
          <w:sz w:val="20"/>
          <w:u w:val="single"/>
        </w:rPr>
        <w:t>maximum amount</w:t>
      </w:r>
      <w:r>
        <w:rPr>
          <w:rFonts w:ascii="Tahoma" w:hAnsi="Tahoma" w:cs="Tahoma"/>
          <w:sz w:val="20"/>
        </w:rPr>
        <w:t xml:space="preserve"> of that substance (solute) which will dissolve in a fixed quantity of the given solvent at a </w:t>
      </w:r>
      <w:r>
        <w:rPr>
          <w:rFonts w:ascii="Tahoma" w:hAnsi="Tahoma" w:cs="Tahoma"/>
          <w:sz w:val="20"/>
          <w:u w:val="single"/>
        </w:rPr>
        <w:t>specified temperature</w:t>
      </w:r>
      <w:r>
        <w:rPr>
          <w:rFonts w:ascii="Tahoma" w:hAnsi="Tahoma" w:cs="Tahoma"/>
          <w:sz w:val="20"/>
        </w:rPr>
        <w:t>.</w:t>
      </w:r>
    </w:p>
    <w:p w:rsidR="007063A8" w:rsidRDefault="007063A8" w:rsidP="007063A8">
      <w:pPr>
        <w:ind w:left="360"/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relationship between temperature and the solubility can be illustrated using </w:t>
      </w:r>
      <w:proofErr w:type="gramStart"/>
      <w:r>
        <w:rPr>
          <w:rFonts w:ascii="Tahoma" w:hAnsi="Tahoma" w:cs="Tahoma"/>
          <w:sz w:val="20"/>
        </w:rPr>
        <w:t>a  graph</w:t>
      </w:r>
      <w:proofErr w:type="gramEnd"/>
      <w:r>
        <w:rPr>
          <w:rFonts w:ascii="Tahoma" w:hAnsi="Tahoma" w:cs="Tahoma"/>
          <w:sz w:val="20"/>
        </w:rPr>
        <w:t xml:space="preserve"> of solubility curves.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ind w:left="28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Solubility Curve of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Magnesium Chloride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ind w:left="14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3.5pt;margin-top:4.9pt;width:55.5pt;height:28.5pt;z-index:251666432" o:allowincell="f" filled="f" stroked="f">
            <v:textbox>
              <w:txbxContent>
                <w:p w:rsidR="007063A8" w:rsidRDefault="007063A8" w:rsidP="007063A8">
                  <w:r>
                    <w:t>MgCl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r>
                    <w:rPr>
                      <w:vertAlign w:val="subscript"/>
                    </w:rPr>
                    <w:t>(</w:t>
                  </w:r>
                  <w:proofErr w:type="spellStart"/>
                  <w:r>
                    <w:rPr>
                      <w:vertAlign w:val="subscript"/>
                    </w:rPr>
                    <w:t>aq</w:t>
                  </w:r>
                  <w:proofErr w:type="spellEnd"/>
                  <w:r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line id="_x0000_s1026" style="position:absolute;left:0;text-align:left;z-index:251660288" from="87pt,5.65pt" to="87pt,201.4pt" o:allowincell="f" strokeweight="1.5pt"/>
        </w:pict>
      </w:r>
    </w:p>
    <w:p w:rsidR="007063A8" w:rsidRDefault="007063A8" w:rsidP="007063A8">
      <w:pPr>
        <w:ind w:left="14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3" style="position:absolute;left:0;text-align:left;margin-left:87pt;margin-top:5.75pt;width:160.5pt;height:164.25pt;z-index:251667456;mso-position-horizontal:absolute;mso-position-horizontal-relative:text;mso-position-vertical:absolute;mso-position-vertical-relative:text" coordsize="3210,3285" o:allowincell="f" path="m,2970v265,157,530,315,1065,-180c1600,2295,2853,465,3210,e" filled="f">
            <v:path arrowok="t"/>
          </v:shape>
        </w:pic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8" type="#_x0000_t202" style="position:absolute;left:0;text-align:left;margin-left:242.25pt;margin-top:.6pt;width:185.8pt;height:60.25pt;z-index:251672576" o:allowincell="f" filled="f" stroked="f">
            <v:textbox>
              <w:txbxContent>
                <w:p w:rsidR="007063A8" w:rsidRDefault="007063A8" w:rsidP="007063A8">
                  <w:r>
                    <w:rPr>
                      <w:b/>
                    </w:rPr>
                    <w:t>Supersaturated region</w:t>
                  </w:r>
                  <w:r>
                    <w:t>: (above curve)</w:t>
                  </w:r>
                </w:p>
                <w:p w:rsidR="007063A8" w:rsidRDefault="007063A8" w:rsidP="007063A8">
                  <w:pPr>
                    <w:ind w:left="720"/>
                  </w:pPr>
                  <w:r>
                    <w:t>More solute dissolved than can actually be dissolved</w:t>
                  </w:r>
                </w:p>
              </w:txbxContent>
            </v:textbox>
          </v:shape>
        </w:pict>
      </w:r>
    </w:p>
    <w:p w:rsidR="007063A8" w:rsidRDefault="007063A8" w:rsidP="007063A8">
      <w:pPr>
        <w:jc w:val="both"/>
        <w:rPr>
          <w:rFonts w:ascii="Tahoma" w:hAnsi="Tahoma" w:cs="Tahoma"/>
          <w:i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39" style="position:absolute;left:0;text-align:left;flip:x;z-index:251673600" from="174.75pt,1.65pt" to="242.25pt,1.65pt" o:allowincell="f">
            <v:stroke endarrow="block"/>
          </v:line>
        </w:pict>
      </w:r>
      <w:r>
        <w:rPr>
          <w:rFonts w:ascii="Tahoma" w:hAnsi="Tahoma" w:cs="Tahoma"/>
          <w:sz w:val="20"/>
        </w:rPr>
        <w:t xml:space="preserve">    Solubility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g/kg</w:t>
      </w:r>
      <w:proofErr w:type="gramEnd"/>
      <w:r>
        <w:rPr>
          <w:rFonts w:ascii="Tahoma" w:hAnsi="Tahoma" w:cs="Tahoma"/>
          <w:sz w:val="20"/>
        </w:rPr>
        <w:t xml:space="preserve"> of H</w:t>
      </w:r>
      <w:r>
        <w:rPr>
          <w:rFonts w:ascii="Tahoma" w:hAnsi="Tahoma" w:cs="Tahoma"/>
          <w:sz w:val="20"/>
          <w:vertAlign w:val="subscript"/>
        </w:rPr>
        <w:t>2</w:t>
      </w:r>
      <w:r>
        <w:rPr>
          <w:rFonts w:ascii="Tahoma" w:hAnsi="Tahoma" w:cs="Tahoma"/>
          <w:sz w:val="20"/>
        </w:rPr>
        <w:t>O)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6" type="#_x0000_t202" style="position:absolute;left:0;text-align:left;margin-left:252.75pt;margin-top:9.45pt;width:207.75pt;height:47.15pt;z-index:251670528" o:allowincell="f" filled="f" stroked="f">
            <v:textbox>
              <w:txbxContent>
                <w:p w:rsidR="007063A8" w:rsidRDefault="007063A8" w:rsidP="007063A8">
                  <w:r>
                    <w:rPr>
                      <w:b/>
                    </w:rPr>
                    <w:t>Saturated region</w:t>
                  </w:r>
                  <w:r>
                    <w:t>: (line of the graph)</w:t>
                  </w:r>
                </w:p>
                <w:p w:rsidR="007063A8" w:rsidRDefault="007063A8" w:rsidP="007063A8">
                  <w:pPr>
                    <w:ind w:left="720"/>
                  </w:pPr>
                  <w:proofErr w:type="gramStart"/>
                  <w:r>
                    <w:t>maximum  amount</w:t>
                  </w:r>
                  <w:proofErr w:type="gramEnd"/>
                  <w:r>
                    <w:t xml:space="preserve"> of solute dissolved than can actually be dissolved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031" type="#_x0000_t202" style="position:absolute;left:0;text-align:left;margin-left:47.25pt;margin-top:7.95pt;width:33pt;height:21pt;z-index:251665408" o:allowincell="f" filled="f" stroked="f">
            <v:textbox>
              <w:txbxContent>
                <w:p w:rsidR="007063A8" w:rsidRDefault="007063A8" w:rsidP="007063A8">
                  <w:r>
                    <w:t>50.0</w:t>
                  </w:r>
                </w:p>
              </w:txbxContent>
            </v:textbox>
          </v:shape>
        </w:pic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28" style="position:absolute;left:0;text-align:left;z-index:251662336" from="174.75pt,5.8pt" to="174.75pt,81.55pt" o:allowincell="f">
            <v:stroke dashstyle="1 1"/>
          </v:line>
        </w:pict>
      </w:r>
      <w:r>
        <w:rPr>
          <w:rFonts w:ascii="Tahoma" w:hAnsi="Tahoma" w:cs="Tahoma"/>
          <w:noProof/>
          <w:sz w:val="20"/>
        </w:rPr>
        <w:pict>
          <v:line id="_x0000_s1037" style="position:absolute;left:0;text-align:left;flip:x;z-index:251671552" from="172.5pt,5.8pt" to="247.5pt,5.8pt" o:allowincell="f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29" style="position:absolute;left:0;text-align:left;z-index:251663360" from="77.25pt,5.8pt" to="262.5pt,5.8pt" o:allowincell="f">
            <v:stroke dashstyle="1 1"/>
          </v:line>
        </w:pic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5" type="#_x0000_t202" style="position:absolute;left:0;text-align:left;margin-left:250.5pt;margin-top:2.35pt;width:201.85pt;height:51.05pt;z-index:251669504" o:allowincell="f" filled="f" stroked="f">
            <v:textbox>
              <w:txbxContent>
                <w:p w:rsidR="007063A8" w:rsidRDefault="007063A8" w:rsidP="007063A8">
                  <w:r>
                    <w:rPr>
                      <w:b/>
                    </w:rPr>
                    <w:t>Unsaturated region</w:t>
                  </w:r>
                  <w:r>
                    <w:t>: (</w:t>
                  </w:r>
                  <w:proofErr w:type="gramStart"/>
                  <w:r>
                    <w:t>below  curve</w:t>
                  </w:r>
                  <w:proofErr w:type="gramEnd"/>
                  <w:r>
                    <w:t>)</w:t>
                  </w:r>
                </w:p>
                <w:p w:rsidR="007063A8" w:rsidRDefault="007063A8" w:rsidP="007063A8">
                  <w:pPr>
                    <w:ind w:left="720"/>
                  </w:pPr>
                  <w:r>
                    <w:t>Less solute dissolved than can actually be dissolved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line id="_x0000_s1034" style="position:absolute;left:0;text-align:left;flip:x;z-index:251668480" from="159.75pt,11.35pt" to="249.75pt,11.35pt" o:allowincell="f">
            <v:stroke endarrow="block"/>
          </v:line>
        </w:pic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0" type="#_x0000_t202" style="position:absolute;left:0;text-align:left;margin-left:163.5pt;margin-top:3.4pt;width:27.75pt;height:18pt;z-index:251664384" o:allowincell="f" filled="f" stroked="f">
            <v:textbox>
              <w:txbxContent>
                <w:p w:rsidR="007063A8" w:rsidRDefault="007063A8" w:rsidP="007063A8">
                  <w:r>
                    <w:t>25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line id="_x0000_s1027" style="position:absolute;left:0;text-align:left;z-index:251661312" from="76.5pt,1.9pt" to="280.5pt,1.9pt" o:allowincell="f" strokeweight="1.5pt"/>
        </w:pic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Temperature (ºC)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widowControl/>
        <w:numPr>
          <w:ilvl w:val="0"/>
          <w:numId w:val="2"/>
        </w:numPr>
        <w:autoSpaceDE/>
        <w:autoSpaceDN/>
        <w:adjustRightIn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graph states that at 25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 , for magnesium chloride to be a:</w:t>
      </w:r>
    </w:p>
    <w:p w:rsidR="007063A8" w:rsidRDefault="007063A8" w:rsidP="007063A8">
      <w:pPr>
        <w:ind w:left="360"/>
        <w:rPr>
          <w:rFonts w:ascii="Tahoma" w:hAnsi="Tahoma" w:cs="Tahoma"/>
          <w:sz w:val="20"/>
        </w:rPr>
      </w:pPr>
    </w:p>
    <w:p w:rsidR="007063A8" w:rsidRDefault="007063A8" w:rsidP="007063A8">
      <w:pPr>
        <w:widowControl/>
        <w:numPr>
          <w:ilvl w:val="1"/>
          <w:numId w:val="2"/>
        </w:numPr>
        <w:autoSpaceDE/>
        <w:autoSpaceDN/>
        <w:adjustRightIn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Saturated </w:t>
      </w:r>
      <w:proofErr w:type="spellStart"/>
      <w:r>
        <w:rPr>
          <w:rFonts w:ascii="Tahoma" w:hAnsi="Tahoma" w:cs="Tahoma"/>
          <w:sz w:val="20"/>
        </w:rPr>
        <w:t>solution;here</w:t>
      </w:r>
      <w:proofErr w:type="spellEnd"/>
      <w:r>
        <w:rPr>
          <w:rFonts w:ascii="Tahoma" w:hAnsi="Tahoma" w:cs="Tahoma"/>
          <w:sz w:val="20"/>
        </w:rPr>
        <w:t xml:space="preserve"> is ONLY 50.0 g of solute per 1000.0 g of water</w:t>
      </w:r>
    </w:p>
    <w:p w:rsidR="007063A8" w:rsidRDefault="007063A8" w:rsidP="007063A8">
      <w:pPr>
        <w:widowControl/>
        <w:numPr>
          <w:ilvl w:val="1"/>
          <w:numId w:val="2"/>
        </w:numPr>
        <w:autoSpaceDE/>
        <w:autoSpaceDN/>
        <w:adjustRightInd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Supersaterated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solution;there</w:t>
      </w:r>
      <w:proofErr w:type="spellEnd"/>
      <w:r>
        <w:rPr>
          <w:rFonts w:ascii="Tahoma" w:hAnsi="Tahoma" w:cs="Tahoma"/>
          <w:sz w:val="20"/>
        </w:rPr>
        <w:t xml:space="preserve"> is MORE THAN 50.0 g of solute per 1000.0 g of water</w:t>
      </w:r>
    </w:p>
    <w:p w:rsidR="007063A8" w:rsidRDefault="007063A8" w:rsidP="007063A8">
      <w:pPr>
        <w:widowControl/>
        <w:numPr>
          <w:ilvl w:val="1"/>
          <w:numId w:val="2"/>
        </w:numPr>
        <w:autoSpaceDE/>
        <w:autoSpaceDN/>
        <w:adjustRightIn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Unsaturated </w:t>
      </w:r>
      <w:proofErr w:type="spellStart"/>
      <w:r>
        <w:rPr>
          <w:rFonts w:ascii="Tahoma" w:hAnsi="Tahoma" w:cs="Tahoma"/>
          <w:sz w:val="20"/>
        </w:rPr>
        <w:t>solution;there</w:t>
      </w:r>
      <w:proofErr w:type="spellEnd"/>
      <w:r>
        <w:rPr>
          <w:rFonts w:ascii="Tahoma" w:hAnsi="Tahoma" w:cs="Tahoma"/>
          <w:sz w:val="20"/>
        </w:rPr>
        <w:t xml:space="preserve"> is LESS THAN 50.0 g of solute per 1000.0 g of Water</w:t>
      </w:r>
    </w:p>
    <w:p w:rsidR="007063A8" w:rsidRDefault="007063A8" w:rsidP="007063A8">
      <w:pPr>
        <w:rPr>
          <w:rFonts w:ascii="Tahoma" w:hAnsi="Tahoma" w:cs="Tahoma"/>
          <w:sz w:val="20"/>
        </w:rPr>
      </w:pPr>
    </w:p>
    <w:p w:rsidR="007063A8" w:rsidRDefault="007063A8" w:rsidP="007063A8">
      <w:pPr>
        <w:pStyle w:val="BodyText2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the temperature of a saturated solution at 25oC (50.0 g of MgCl2) is changed, then the type of solution will change accordingly as indicated by the graph.</w:t>
      </w:r>
    </w:p>
    <w:p w:rsidR="007063A8" w:rsidRDefault="007063A8" w:rsidP="007063A8">
      <w:pPr>
        <w:pStyle w:val="BodyText2"/>
        <w:ind w:left="360"/>
        <w:rPr>
          <w:rFonts w:ascii="Tahoma" w:hAnsi="Tahoma" w:cs="Tahoma"/>
          <w:sz w:val="20"/>
        </w:rPr>
      </w:pPr>
    </w:p>
    <w:p w:rsidR="007063A8" w:rsidRDefault="007063A8" w:rsidP="007063A8">
      <w:pPr>
        <w:widowControl/>
        <w:numPr>
          <w:ilvl w:val="1"/>
          <w:numId w:val="2"/>
        </w:numPr>
        <w:autoSpaceDE/>
        <w:autoSpaceDN/>
        <w:adjustRightInd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Increase in temperature, the solution becomes unsaturated.</w:t>
      </w:r>
    </w:p>
    <w:p w:rsidR="007063A8" w:rsidRDefault="007063A8" w:rsidP="007063A8">
      <w:pPr>
        <w:pStyle w:val="BodyText2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Decrease in temperature, the solution becomes supersaturated.</w:t>
      </w: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7063A8" w:rsidRDefault="007063A8" w:rsidP="007063A8">
      <w:pPr>
        <w:jc w:val="both"/>
        <w:rPr>
          <w:rFonts w:ascii="Tahoma" w:hAnsi="Tahoma" w:cs="Tahoma"/>
          <w:sz w:val="20"/>
        </w:rPr>
      </w:pPr>
    </w:p>
    <w:p w:rsidR="00381E20" w:rsidRDefault="00381E20"/>
    <w:p w:rsidR="007063A8" w:rsidRDefault="007063A8"/>
    <w:p w:rsidR="007063A8" w:rsidRDefault="007063A8"/>
    <w:p w:rsidR="007063A8" w:rsidRDefault="007063A8"/>
    <w:p w:rsidR="007063A8" w:rsidRDefault="007063A8"/>
    <w:p w:rsidR="007063A8" w:rsidRDefault="007063A8" w:rsidP="007063A8">
      <w:pPr>
        <w:pStyle w:val="Plain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Reading a Solubility Chart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curve shows the # of grams of solute in a saturated solution containing 100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or 100 g of water at a certain temperature.</w:t>
      </w:r>
    </w:p>
    <w:p w:rsidR="007063A8" w:rsidRDefault="007063A8" w:rsidP="007063A8">
      <w:pPr>
        <w:pStyle w:val="PlainText"/>
        <w:ind w:left="240"/>
        <w:rPr>
          <w:rFonts w:ascii="Tahoma" w:hAnsi="Tahoma" w:cs="Tahoma"/>
        </w:rPr>
      </w:pPr>
      <w:r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83820</wp:posOffset>
            </wp:positionV>
            <wp:extent cx="3828415" cy="5394960"/>
            <wp:effectExtent l="0" t="0" r="0" b="0"/>
            <wp:wrapTight wrapText="left">
              <wp:wrapPolygon edited="0">
                <wp:start x="61" y="125"/>
                <wp:lineTo x="61" y="21450"/>
                <wp:lineTo x="21478" y="21450"/>
                <wp:lineTo x="21478" y="125"/>
                <wp:lineTo x="61" y="125"/>
              </wp:wrapPolygon>
            </wp:wrapTight>
            <wp:docPr id="16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Any amount of solute below the line indicates the solution is unsaturated at a certain temperature</w:t>
      </w:r>
    </w:p>
    <w:p w:rsidR="007063A8" w:rsidRDefault="007063A8" w:rsidP="007063A8">
      <w:pPr>
        <w:pStyle w:val="PlainText"/>
        <w:ind w:left="240"/>
        <w:rPr>
          <w:rFonts w:ascii="Tahoma" w:hAnsi="Tahoma" w:cs="Tahoma"/>
        </w:rPr>
      </w:pP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Any amount of solute above the line in which all of the solute has dissolved shows the solution is supersaturated.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the amount of solute is above the line but has not all dissolved, the solution is saturated and the # grams of solute settled on the bottom of the container = total # g in solution </w:t>
      </w:r>
      <w:proofErr w:type="gramStart"/>
      <w:r>
        <w:rPr>
          <w:rFonts w:ascii="Tahoma" w:hAnsi="Tahoma" w:cs="Tahoma"/>
        </w:rPr>
        <w:t>–  #</w:t>
      </w:r>
      <w:proofErr w:type="gramEnd"/>
      <w:r>
        <w:rPr>
          <w:rFonts w:ascii="Tahoma" w:hAnsi="Tahoma" w:cs="Tahoma"/>
        </w:rPr>
        <w:t xml:space="preserve"> g of a saturated solution at that temperature. (according to the curve)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Solutes whose curves move upward w/ increased temperature are typically solids b/c the solubility of solids increases w/ increased temperature.</w:t>
      </w:r>
    </w:p>
    <w:p w:rsidR="007063A8" w:rsidRDefault="007063A8" w:rsidP="007063A8">
      <w:pPr>
        <w:pStyle w:val="PlainText"/>
        <w:ind w:left="240" w:firstLine="360"/>
        <w:rPr>
          <w:rFonts w:ascii="Tahoma" w:hAnsi="Tahoma" w:cs="Tahoma"/>
        </w:rPr>
      </w:pPr>
    </w:p>
    <w:p w:rsidR="007063A8" w:rsidRDefault="007063A8" w:rsidP="007063A8">
      <w:pPr>
        <w:pStyle w:val="PlainTex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Solutes whose curves move downward w/ increased temperature are typically gases b/c the solubility of gases decreases with</w:t>
      </w:r>
    </w:p>
    <w:p w:rsidR="007063A8" w:rsidRDefault="007063A8" w:rsidP="007063A8">
      <w:pPr>
        <w:pStyle w:val="PlainText"/>
        <w:ind w:left="240" w:firstLine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increased</w:t>
      </w:r>
      <w:proofErr w:type="gramEnd"/>
      <w:r>
        <w:rPr>
          <w:rFonts w:ascii="Tahoma" w:hAnsi="Tahoma" w:cs="Tahoma"/>
        </w:rPr>
        <w:t xml:space="preserve"> temperature.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Solubility Problems to solve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tabs>
          <w:tab w:val="num" w:pos="600"/>
        </w:tabs>
        <w:ind w:left="600" w:hanging="360"/>
        <w:rPr>
          <w:rFonts w:ascii="Tahoma" w:hAnsi="Tahoma" w:cs="Tahoma"/>
        </w:rPr>
      </w:pPr>
      <w:r>
        <w:rPr>
          <w:rFonts w:ascii="Tahoma" w:hAnsi="Tahoma" w:cs="Tahoma"/>
        </w:rPr>
        <w:t>At 10</w:t>
      </w:r>
      <w:r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>C, 80 g of NaNO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will dissolve in  </w:t>
      </w:r>
    </w:p>
    <w:p w:rsidR="007063A8" w:rsidRDefault="007063A8" w:rsidP="007063A8">
      <w:pPr>
        <w:pStyle w:val="PlainText"/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100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(a saturated solution)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2. To find the # grams needed to saturate a solution when the volume is NOT 100 </w:t>
      </w:r>
      <w:proofErr w:type="spellStart"/>
      <w:proofErr w:type="gram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 use</w:t>
      </w:r>
      <w:proofErr w:type="gramEnd"/>
      <w:r>
        <w:rPr>
          <w:rFonts w:ascii="Tahoma" w:hAnsi="Tahoma" w:cs="Tahoma"/>
        </w:rPr>
        <w:t xml:space="preserve"> the following</w:t>
      </w:r>
    </w:p>
    <w:p w:rsidR="007063A8" w:rsidRDefault="007063A8" w:rsidP="007063A8">
      <w:pPr>
        <w:pStyle w:val="PlainText"/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>strategy</w:t>
      </w:r>
      <w:proofErr w:type="gramEnd"/>
      <w:r>
        <w:rPr>
          <w:rFonts w:ascii="Tahoma" w:hAnsi="Tahoma" w:cs="Tahoma"/>
        </w:rPr>
        <w:t xml:space="preserve"> to find answer:</w:t>
      </w:r>
    </w:p>
    <w:p w:rsidR="007063A8" w:rsidRDefault="007063A8" w:rsidP="007063A8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063A8" w:rsidRDefault="007063A8" w:rsidP="007063A8">
      <w:pPr>
        <w:pStyle w:val="Plain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Start w/ known vol. 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   Solubility/100mL at set temp.  =   amount of Solute needed to saturate</w:t>
      </w:r>
    </w:p>
    <w:p w:rsidR="007063A8" w:rsidRDefault="007063A8" w:rsidP="007063A8">
      <w:pPr>
        <w:pStyle w:val="PlainText"/>
        <w:ind w:firstLine="720"/>
        <w:rPr>
          <w:rFonts w:ascii="Tahoma" w:hAnsi="Tahoma" w:cs="Tahoma"/>
        </w:rPr>
      </w:pPr>
    </w:p>
    <w:p w:rsidR="007063A8" w:rsidRDefault="007063A8" w:rsidP="007063A8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Ex.</w:t>
      </w:r>
      <w:proofErr w:type="gramEnd"/>
      <w:r>
        <w:rPr>
          <w:rFonts w:ascii="Tahoma" w:hAnsi="Tahoma" w:cs="Tahoma"/>
        </w:rPr>
        <w:t xml:space="preserve">   60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O    x    </w:t>
      </w:r>
      <w:r>
        <w:rPr>
          <w:rFonts w:ascii="Tahoma" w:hAnsi="Tahoma" w:cs="Tahoma"/>
          <w:u w:val="single"/>
        </w:rPr>
        <w:t>80 g NaNO</w:t>
      </w:r>
      <w:r>
        <w:rPr>
          <w:rFonts w:ascii="Tahoma" w:hAnsi="Tahoma" w:cs="Tahoma"/>
          <w:u w:val="single"/>
          <w:vertAlign w:val="subscript"/>
        </w:rPr>
        <w:t>3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=   48 g NaNO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needed to saturate solution</w:t>
      </w:r>
    </w:p>
    <w:p w:rsidR="007063A8" w:rsidRDefault="007063A8" w:rsidP="007063A8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</w:rPr>
        <w:tab/>
        <w:t xml:space="preserve">            100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O              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or</w:t>
      </w:r>
      <w:proofErr w:type="gramEnd"/>
      <w:r>
        <w:rPr>
          <w:rFonts w:ascii="Tahoma" w:hAnsi="Tahoma" w:cs="Tahoma"/>
        </w:rPr>
        <w:t xml:space="preserve"> if the chart is in units of 100 g of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 use the density of water conversion 1mL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O= 1 g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</w:p>
    <w:p w:rsidR="007063A8" w:rsidRDefault="007063A8" w:rsidP="007063A8">
      <w:pPr>
        <w:pStyle w:val="PlainText"/>
        <w:rPr>
          <w:rFonts w:ascii="Tahoma" w:hAnsi="Tahoma" w:cs="Tahoma"/>
        </w:rPr>
      </w:pPr>
    </w:p>
    <w:p w:rsidR="007063A8" w:rsidRDefault="007063A8" w:rsidP="007063A8">
      <w:pPr>
        <w:pStyle w:val="Plain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>Ex.</w:t>
      </w:r>
      <w:proofErr w:type="gramEnd"/>
      <w:r>
        <w:rPr>
          <w:rFonts w:ascii="Tahoma" w:hAnsi="Tahoma" w:cs="Tahoma"/>
        </w:rPr>
        <w:t xml:space="preserve">      60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O    x     </w:t>
      </w:r>
      <w:r>
        <w:rPr>
          <w:rFonts w:ascii="Tahoma" w:hAnsi="Tahoma" w:cs="Tahoma"/>
          <w:u w:val="single"/>
        </w:rPr>
        <w:t xml:space="preserve">1 g </w:t>
      </w:r>
      <w:proofErr w:type="gramStart"/>
      <w:r>
        <w:rPr>
          <w:rFonts w:ascii="Tahoma" w:hAnsi="Tahoma" w:cs="Tahoma"/>
          <w:u w:val="single"/>
        </w:rPr>
        <w:t>H</w:t>
      </w:r>
      <w:r>
        <w:rPr>
          <w:rFonts w:ascii="Tahoma" w:hAnsi="Tahoma" w:cs="Tahoma"/>
          <w:u w:val="single"/>
          <w:vertAlign w:val="subscript"/>
        </w:rPr>
        <w:t>2</w:t>
      </w:r>
      <w:r>
        <w:rPr>
          <w:rFonts w:ascii="Tahoma" w:hAnsi="Tahoma" w:cs="Tahoma"/>
          <w:u w:val="single"/>
        </w:rPr>
        <w:t>O</w:t>
      </w:r>
      <w:r>
        <w:rPr>
          <w:rFonts w:ascii="Tahoma" w:hAnsi="Tahoma" w:cs="Tahoma"/>
        </w:rPr>
        <w:t xml:space="preserve">  x</w:t>
      </w:r>
      <w:proofErr w:type="gramEnd"/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80 g NaNO</w:t>
      </w:r>
      <w:r>
        <w:rPr>
          <w:rFonts w:ascii="Tahoma" w:hAnsi="Tahoma" w:cs="Tahoma"/>
          <w:u w:val="single"/>
          <w:vertAlign w:val="subscript"/>
        </w:rPr>
        <w:t>3</w:t>
      </w:r>
      <w:r>
        <w:rPr>
          <w:rFonts w:ascii="Tahoma" w:hAnsi="Tahoma" w:cs="Tahoma"/>
        </w:rPr>
        <w:t xml:space="preserve">   =   48 g NaNO</w:t>
      </w:r>
      <w:r>
        <w:rPr>
          <w:rFonts w:ascii="Tahoma" w:hAnsi="Tahoma" w:cs="Tahoma"/>
          <w:vertAlign w:val="subscript"/>
        </w:rPr>
        <w:t>3</w:t>
      </w:r>
    </w:p>
    <w:p w:rsidR="007063A8" w:rsidRDefault="007063A8" w:rsidP="007063A8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1 </w:t>
      </w:r>
      <w:proofErr w:type="spellStart"/>
      <w:r>
        <w:rPr>
          <w:rFonts w:ascii="Tahoma" w:hAnsi="Tahoma" w:cs="Tahoma"/>
        </w:rPr>
        <w:t>mL</w:t>
      </w:r>
      <w:proofErr w:type="spellEnd"/>
      <w:r>
        <w:rPr>
          <w:rFonts w:ascii="Tahoma" w:hAnsi="Tahoma" w:cs="Tahoma"/>
        </w:rPr>
        <w:t xml:space="preserve">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      100 g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</w:p>
    <w:p w:rsidR="007063A8" w:rsidRDefault="007063A8" w:rsidP="007063A8"/>
    <w:p w:rsidR="007063A8" w:rsidRDefault="007063A8" w:rsidP="007063A8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WS - Reading the Solubility Chart Problems</w:t>
      </w:r>
    </w:p>
    <w:p w:rsidR="007063A8" w:rsidRDefault="007063A8" w:rsidP="007063A8">
      <w:pPr>
        <w:rPr>
          <w:rFonts w:ascii="Tahoma" w:hAnsi="Tahoma" w:cs="Tahoma"/>
          <w:sz w:val="20"/>
        </w:rPr>
      </w:pP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Which of the salts shown on the graph is the least soluble in water at 10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Which of the salts shown on the graph has the greatest increase in solubility as the temperature increases from 30 degrees to 60 degrees?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CA" w:eastAsia="en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96520</wp:posOffset>
            </wp:positionV>
            <wp:extent cx="3828415" cy="5394960"/>
            <wp:effectExtent l="0" t="0" r="0" b="0"/>
            <wp:wrapTight wrapText="left">
              <wp:wrapPolygon edited="0">
                <wp:start x="61" y="125"/>
                <wp:lineTo x="61" y="21450"/>
                <wp:lineTo x="21478" y="21450"/>
                <wp:lineTo x="21478" y="125"/>
                <wp:lineTo x="61" y="125"/>
              </wp:wrapPolygon>
            </wp:wrapTight>
            <wp:docPr id="17" name="Obj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ahoma" w:hAnsi="Tahoma" w:cs="Tahoma"/>
          <w:sz w:val="20"/>
        </w:rPr>
        <w:t>Which of the salts has its solubility affected the least by a change in temperature?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 20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C, a saturated solution of sodium nitrate contains 100 grams of solute in 100 ml of water.  How many grams of sodium chlorate must be added to saturate the solution at 50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At what temperature do saturated solutions of potassium nitrate and sodium nitrate contain the same weight of solute per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two salts have the same degree of solubility at approximately 19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many grams of potassium chlorate must be added to 1 liter of water to produce a saturated solution at 50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saturated solution of potassium nitrate is prepared at 60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 using 100.mL of water.  How many grams of solute will precipitate out of solution if the temperature is suddenly cooled to 30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is the average rate of increase for the solubility of KNO</w:t>
      </w:r>
      <w:r>
        <w:rPr>
          <w:rFonts w:ascii="Tahoma" w:hAnsi="Tahoma" w:cs="Tahoma"/>
          <w:sz w:val="20"/>
          <w:vertAlign w:val="subscript"/>
        </w:rPr>
        <w:t>3</w:t>
      </w:r>
      <w:r>
        <w:rPr>
          <w:rFonts w:ascii="Tahoma" w:hAnsi="Tahoma" w:cs="Tahoma"/>
          <w:sz w:val="20"/>
        </w:rPr>
        <w:t xml:space="preserve"> in grams per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per degree Celsius in the temperature range of 60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 to 70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50. </w:t>
      </w:r>
      <w:proofErr w:type="spellStart"/>
      <w:proofErr w:type="gramStart"/>
      <w:r>
        <w:rPr>
          <w:rFonts w:ascii="Tahoma" w:hAnsi="Tahoma" w:cs="Tahoma"/>
          <w:sz w:val="20"/>
        </w:rPr>
        <w:t>mL</w:t>
      </w:r>
      <w:proofErr w:type="spellEnd"/>
      <w:proofErr w:type="gramEnd"/>
      <w:r>
        <w:rPr>
          <w:rFonts w:ascii="Tahoma" w:hAnsi="Tahoma" w:cs="Tahoma"/>
          <w:sz w:val="20"/>
        </w:rPr>
        <w:t xml:space="preserve"> of water that is saturated with KClO</w:t>
      </w:r>
      <w:r>
        <w:rPr>
          <w:rFonts w:ascii="Tahoma" w:hAnsi="Tahoma" w:cs="Tahoma"/>
          <w:sz w:val="20"/>
          <w:vertAlign w:val="subscript"/>
        </w:rPr>
        <w:t xml:space="preserve">3 </w:t>
      </w:r>
      <w:r>
        <w:rPr>
          <w:rFonts w:ascii="Tahoma" w:hAnsi="Tahoma" w:cs="Tahoma"/>
          <w:sz w:val="20"/>
        </w:rPr>
        <w:t>at 25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 is slowly evaporated to dryness, how many grams of the dry salt would be recovered?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Thirty grams of </w:t>
      </w:r>
      <w:proofErr w:type="spellStart"/>
      <w:r>
        <w:rPr>
          <w:rFonts w:ascii="Tahoma" w:hAnsi="Tahoma" w:cs="Tahoma"/>
          <w:sz w:val="20"/>
        </w:rPr>
        <w:t>KCl</w:t>
      </w:r>
      <w:proofErr w:type="spellEnd"/>
      <w:r>
        <w:rPr>
          <w:rFonts w:ascii="Tahoma" w:hAnsi="Tahoma" w:cs="Tahoma"/>
          <w:sz w:val="20"/>
        </w:rPr>
        <w:t xml:space="preserve"> are dissolved in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 at 45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 xml:space="preserve">C.  How many additional grams of </w:t>
      </w:r>
      <w:proofErr w:type="spellStart"/>
      <w:r>
        <w:rPr>
          <w:rFonts w:ascii="Tahoma" w:hAnsi="Tahoma" w:cs="Tahoma"/>
          <w:sz w:val="20"/>
        </w:rPr>
        <w:t>KCl</w:t>
      </w:r>
      <w:proofErr w:type="spellEnd"/>
      <w:r>
        <w:rPr>
          <w:rFonts w:ascii="Tahoma" w:hAnsi="Tahoma" w:cs="Tahoma"/>
          <w:sz w:val="20"/>
        </w:rPr>
        <w:t xml:space="preserve"> are needed to make the solution saturated at 80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What is the smallest volume of water, in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>, required to completely dissolve 39 grams of KNO</w:t>
      </w:r>
      <w:r>
        <w:rPr>
          <w:rFonts w:ascii="Tahoma" w:hAnsi="Tahoma" w:cs="Tahoma"/>
          <w:sz w:val="20"/>
          <w:vertAlign w:val="subscript"/>
        </w:rPr>
        <w:t>3</w:t>
      </w:r>
      <w:r>
        <w:rPr>
          <w:rFonts w:ascii="Tahoma" w:hAnsi="Tahoma" w:cs="Tahoma"/>
          <w:sz w:val="20"/>
        </w:rPr>
        <w:t xml:space="preserve"> at 10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What is the lowest temperature at which </w:t>
      </w:r>
      <w:proofErr w:type="gramStart"/>
      <w:r>
        <w:rPr>
          <w:rFonts w:ascii="Tahoma" w:hAnsi="Tahoma" w:cs="Tahoma"/>
          <w:sz w:val="20"/>
        </w:rPr>
        <w:t>30.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grams</w:t>
      </w:r>
      <w:proofErr w:type="gramEnd"/>
      <w:r>
        <w:rPr>
          <w:rFonts w:ascii="Tahoma" w:hAnsi="Tahoma" w:cs="Tahoma"/>
          <w:sz w:val="20"/>
        </w:rPr>
        <w:t xml:space="preserve"> of </w:t>
      </w:r>
      <w:proofErr w:type="spellStart"/>
      <w:r>
        <w:rPr>
          <w:rFonts w:ascii="Tahoma" w:hAnsi="Tahoma" w:cs="Tahoma"/>
          <w:sz w:val="20"/>
        </w:rPr>
        <w:t>KCl</w:t>
      </w:r>
      <w:proofErr w:type="spellEnd"/>
      <w:r>
        <w:rPr>
          <w:rFonts w:ascii="Tahoma" w:hAnsi="Tahoma" w:cs="Tahoma"/>
          <w:sz w:val="20"/>
        </w:rPr>
        <w:t xml:space="preserve"> can be dissolved in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water?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Are the following solutions saturated, unsaturated or supersaturated (assume that all three could form supersaturated solutions)</w:t>
      </w:r>
    </w:p>
    <w:p w:rsidR="007063A8" w:rsidRDefault="007063A8" w:rsidP="007063A8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40. g of </w:t>
      </w:r>
      <w:proofErr w:type="spellStart"/>
      <w:r>
        <w:rPr>
          <w:rFonts w:ascii="Tahoma" w:hAnsi="Tahoma" w:cs="Tahoma"/>
          <w:sz w:val="20"/>
        </w:rPr>
        <w:t>KCl</w:t>
      </w:r>
      <w:proofErr w:type="spellEnd"/>
      <w:r>
        <w:rPr>
          <w:rFonts w:ascii="Tahoma" w:hAnsi="Tahoma" w:cs="Tahoma"/>
          <w:sz w:val="20"/>
        </w:rPr>
        <w:t xml:space="preserve"> in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 at 80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</w:t>
      </w:r>
    </w:p>
    <w:p w:rsidR="007063A8" w:rsidRDefault="007063A8" w:rsidP="007063A8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120. g of KNO</w:t>
      </w:r>
      <w:r>
        <w:rPr>
          <w:rFonts w:ascii="Tahoma" w:hAnsi="Tahoma" w:cs="Tahoma"/>
          <w:sz w:val="20"/>
          <w:vertAlign w:val="subscript"/>
        </w:rPr>
        <w:t>3</w:t>
      </w:r>
      <w:r>
        <w:rPr>
          <w:rFonts w:ascii="Tahoma" w:hAnsi="Tahoma" w:cs="Tahoma"/>
          <w:sz w:val="20"/>
        </w:rPr>
        <w:t xml:space="preserve"> in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 at 60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</w:t>
      </w:r>
    </w:p>
    <w:p w:rsidR="007063A8" w:rsidRDefault="007063A8" w:rsidP="007063A8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80. g of NaNO</w:t>
      </w:r>
      <w:r>
        <w:rPr>
          <w:rFonts w:ascii="Tahoma" w:hAnsi="Tahoma" w:cs="Tahoma"/>
          <w:sz w:val="20"/>
          <w:vertAlign w:val="subscript"/>
        </w:rPr>
        <w:t>3</w:t>
      </w:r>
      <w:r>
        <w:rPr>
          <w:rFonts w:ascii="Tahoma" w:hAnsi="Tahoma" w:cs="Tahoma"/>
          <w:sz w:val="20"/>
        </w:rPr>
        <w:t xml:space="preserve"> in 100 </w:t>
      </w:r>
      <w:proofErr w:type="spellStart"/>
      <w:r>
        <w:rPr>
          <w:rFonts w:ascii="Tahoma" w:hAnsi="Tahoma" w:cs="Tahoma"/>
          <w:sz w:val="20"/>
        </w:rPr>
        <w:t>mL</w:t>
      </w:r>
      <w:proofErr w:type="spellEnd"/>
      <w:r>
        <w:rPr>
          <w:rFonts w:ascii="Tahoma" w:hAnsi="Tahoma" w:cs="Tahoma"/>
          <w:sz w:val="20"/>
        </w:rPr>
        <w:t xml:space="preserve"> of water at 10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>C</w:t>
      </w:r>
    </w:p>
    <w:p w:rsidR="007063A8" w:rsidRDefault="007063A8" w:rsidP="007063A8">
      <w:pPr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Assume that a solubility curve for a gas such as ammonia, at one atmosphere of pressure, was plotted on the solubility curve graph.  Reading from left to right, would this curve would _____</w:t>
      </w:r>
    </w:p>
    <w:p w:rsidR="007063A8" w:rsidRDefault="007063A8" w:rsidP="007063A8">
      <w:pPr>
        <w:ind w:left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>. slope upward</w:t>
      </w:r>
      <w:r>
        <w:rPr>
          <w:rFonts w:ascii="Tahoma" w:hAnsi="Tahoma" w:cs="Tahoma"/>
          <w:sz w:val="20"/>
        </w:rPr>
        <w:tab/>
        <w:t>b. slope downward</w:t>
      </w:r>
      <w:r>
        <w:rPr>
          <w:rFonts w:ascii="Tahoma" w:hAnsi="Tahoma" w:cs="Tahoma"/>
          <w:sz w:val="20"/>
        </w:rPr>
        <w:tab/>
        <w:t>c. go straight across</w:t>
      </w:r>
    </w:p>
    <w:p w:rsidR="007063A8" w:rsidRDefault="007063A8" w:rsidP="007063A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7063A8" w:rsidRPr="007063A8" w:rsidRDefault="007063A8">
      <w:pPr>
        <w:rPr>
          <w:lang w:val="en-CA"/>
        </w:rPr>
      </w:pPr>
    </w:p>
    <w:sectPr w:rsidR="007063A8" w:rsidRPr="007063A8" w:rsidSect="00381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064FAA"/>
    <w:multiLevelType w:val="hybridMultilevel"/>
    <w:tmpl w:val="E230E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51F3"/>
    <w:multiLevelType w:val="hybridMultilevel"/>
    <w:tmpl w:val="4BEE7680"/>
    <w:lvl w:ilvl="0" w:tplc="96FC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1E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2D02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DB0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AA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68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DE8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10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B8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58D742D"/>
    <w:multiLevelType w:val="hybridMultilevel"/>
    <w:tmpl w:val="7054A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B7736"/>
    <w:multiLevelType w:val="hybridMultilevel"/>
    <w:tmpl w:val="6136B1DC"/>
    <w:lvl w:ilvl="0" w:tplc="9D0C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D4237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126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40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62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78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C4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120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8A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5BA17164"/>
    <w:multiLevelType w:val="singleLevel"/>
    <w:tmpl w:val="AC7243D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75DA7D77"/>
    <w:multiLevelType w:val="singleLevel"/>
    <w:tmpl w:val="253842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3A8"/>
    <w:rsid w:val="00035785"/>
    <w:rsid w:val="00381E20"/>
    <w:rsid w:val="007063A8"/>
    <w:rsid w:val="00A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63A8"/>
    <w:pPr>
      <w:keepNext/>
      <w:widowControl/>
      <w:autoSpaceDE/>
      <w:autoSpaceDN/>
      <w:adjustRightInd/>
      <w:jc w:val="center"/>
      <w:outlineLvl w:val="2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63A8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7063A8"/>
    <w:pPr>
      <w:widowControl/>
      <w:autoSpaceDE/>
      <w:autoSpaceDN/>
      <w:adjustRightInd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063A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lainText">
    <w:name w:val="Plain Text"/>
    <w:basedOn w:val="Normal"/>
    <w:link w:val="PlainTextChar"/>
    <w:rsid w:val="007063A8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63A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chart>
    <c:title>
      <c:tx>
        <c:rich>
          <a:bodyPr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Solubility Curves of Pure Substances</a:t>
            </a:r>
          </a:p>
        </c:rich>
      </c:tx>
      <c:layout>
        <c:manualLayout>
          <c:xMode val="edge"/>
          <c:yMode val="edge"/>
          <c:x val="0.33888048411497751"/>
          <c:y val="1.992966002344666E-2"/>
        </c:manualLayout>
      </c:layout>
      <c:spPr>
        <a:noFill/>
        <a:ln w="15221">
          <a:noFill/>
        </a:ln>
      </c:spPr>
    </c:title>
    <c:plotArea>
      <c:layout>
        <c:manualLayout>
          <c:layoutTarget val="inner"/>
          <c:xMode val="edge"/>
          <c:yMode val="edge"/>
          <c:x val="9.077155824508322E-2"/>
          <c:y val="8.9097303634232156E-2"/>
          <c:w val="0.87745839636913781"/>
          <c:h val="0.84173505275498262"/>
        </c:manualLayout>
      </c:layout>
      <c:scatterChart>
        <c:scatterStyle val="smoothMarker"/>
        <c:ser>
          <c:idx val="0"/>
          <c:order val="0"/>
          <c:tx>
            <c:strRef>
              <c:f>Sheet1!$B$2</c:f>
              <c:strCache>
                <c:ptCount val="1"/>
                <c:pt idx="0">
                  <c:v>KI</c:v>
                </c:pt>
              </c:strCache>
            </c:strRef>
          </c:tx>
          <c:spPr>
            <a:ln w="7611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Sheet1!$B$3:$B$16</c:f>
              <c:numCache>
                <c:formatCode>General</c:formatCode>
                <c:ptCount val="14"/>
                <c:pt idx="0">
                  <c:v>128</c:v>
                </c:pt>
                <c:pt idx="1">
                  <c:v>136</c:v>
                </c:pt>
                <c:pt idx="2">
                  <c:v>145</c:v>
                </c:pt>
                <c:pt idx="3">
                  <c:v>150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NaNO3</c:v>
                </c:pt>
              </c:strCache>
            </c:strRef>
          </c:tx>
          <c:spPr>
            <a:ln w="7611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Sheet1!$C$3:$C$16</c:f>
              <c:numCache>
                <c:formatCode>General</c:formatCode>
                <c:ptCount val="14"/>
                <c:pt idx="0">
                  <c:v>73</c:v>
                </c:pt>
                <c:pt idx="1">
                  <c:v>80</c:v>
                </c:pt>
                <c:pt idx="2">
                  <c:v>88</c:v>
                </c:pt>
                <c:pt idx="3">
                  <c:v>92</c:v>
                </c:pt>
                <c:pt idx="4">
                  <c:v>96</c:v>
                </c:pt>
                <c:pt idx="5">
                  <c:v>105</c:v>
                </c:pt>
                <c:pt idx="6">
                  <c:v>113</c:v>
                </c:pt>
                <c:pt idx="7">
                  <c:v>122</c:v>
                </c:pt>
                <c:pt idx="8">
                  <c:v>132</c:v>
                </c:pt>
                <c:pt idx="9">
                  <c:v>139</c:v>
                </c:pt>
                <c:pt idx="10">
                  <c:v>144</c:v>
                </c:pt>
                <c:pt idx="11">
                  <c:v>150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KNO3</c:v>
                </c:pt>
              </c:strCache>
            </c:strRef>
          </c:tx>
          <c:spPr>
            <a:ln w="7611">
              <a:solidFill>
                <a:srgbClr val="FFFF0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Sheet1!$D$3:$D$16</c:f>
              <c:numCache>
                <c:formatCode>General</c:formatCode>
                <c:ptCount val="14"/>
                <c:pt idx="0">
                  <c:v>15</c:v>
                </c:pt>
                <c:pt idx="1">
                  <c:v>23</c:v>
                </c:pt>
                <c:pt idx="2">
                  <c:v>34</c:v>
                </c:pt>
                <c:pt idx="3">
                  <c:v>40</c:v>
                </c:pt>
                <c:pt idx="4">
                  <c:v>48</c:v>
                </c:pt>
                <c:pt idx="5">
                  <c:v>62</c:v>
                </c:pt>
                <c:pt idx="6">
                  <c:v>81</c:v>
                </c:pt>
                <c:pt idx="7">
                  <c:v>103</c:v>
                </c:pt>
                <c:pt idx="8">
                  <c:v>130</c:v>
                </c:pt>
                <c:pt idx="9">
                  <c:v>150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NH3</c:v>
                </c:pt>
              </c:strCache>
            </c:strRef>
          </c:tx>
          <c:spPr>
            <a:ln w="7611">
              <a:solidFill>
                <a:srgbClr val="00FF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Sheet1!$E$3:$E$16</c:f>
              <c:numCache>
                <c:formatCode>General</c:formatCode>
                <c:ptCount val="14"/>
                <c:pt idx="0">
                  <c:v>90</c:v>
                </c:pt>
                <c:pt idx="1">
                  <c:v>70</c:v>
                </c:pt>
                <c:pt idx="2">
                  <c:v>55</c:v>
                </c:pt>
                <c:pt idx="3">
                  <c:v>48</c:v>
                </c:pt>
                <c:pt idx="4">
                  <c:v>41</c:v>
                </c:pt>
                <c:pt idx="5">
                  <c:v>35</c:v>
                </c:pt>
                <c:pt idx="6">
                  <c:v>28</c:v>
                </c:pt>
                <c:pt idx="7">
                  <c:v>22</c:v>
                </c:pt>
                <c:pt idx="8">
                  <c:v>18.399999999999999</c:v>
                </c:pt>
                <c:pt idx="9">
                  <c:v>16.5</c:v>
                </c:pt>
                <c:pt idx="10">
                  <c:v>14</c:v>
                </c:pt>
                <c:pt idx="11">
                  <c:v>12.6</c:v>
                </c:pt>
                <c:pt idx="12">
                  <c:v>11</c:v>
                </c:pt>
                <c:pt idx="13">
                  <c:v>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NH4Cl</c:v>
                </c:pt>
              </c:strCache>
            </c:strRef>
          </c:tx>
          <c:spPr>
            <a:ln w="7611">
              <a:solidFill>
                <a:srgbClr val="80008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Sheet1!$F$3:$F$16</c:f>
              <c:numCache>
                <c:formatCode>General</c:formatCode>
                <c:ptCount val="14"/>
                <c:pt idx="0">
                  <c:v>29</c:v>
                </c:pt>
                <c:pt idx="1">
                  <c:v>33</c:v>
                </c:pt>
                <c:pt idx="2">
                  <c:v>38</c:v>
                </c:pt>
                <c:pt idx="3">
                  <c:v>39.4</c:v>
                </c:pt>
                <c:pt idx="4">
                  <c:v>41.3</c:v>
                </c:pt>
                <c:pt idx="5">
                  <c:v>46</c:v>
                </c:pt>
                <c:pt idx="6">
                  <c:v>50</c:v>
                </c:pt>
                <c:pt idx="7">
                  <c:v>54.7</c:v>
                </c:pt>
                <c:pt idx="8">
                  <c:v>59</c:v>
                </c:pt>
                <c:pt idx="9">
                  <c:v>62</c:v>
                </c:pt>
                <c:pt idx="10">
                  <c:v>65</c:v>
                </c:pt>
                <c:pt idx="11">
                  <c:v>68</c:v>
                </c:pt>
                <c:pt idx="12">
                  <c:v>70</c:v>
                </c:pt>
                <c:pt idx="13">
                  <c:v>76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Sheet1!$G$2</c:f>
              <c:strCache>
                <c:ptCount val="1"/>
                <c:pt idx="0">
                  <c:v>KCl</c:v>
                </c:pt>
              </c:strCache>
            </c:strRef>
          </c:tx>
          <c:spPr>
            <a:ln w="7611">
              <a:solidFill>
                <a:srgbClr val="80000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Sheet1!$G$3:$G$16</c:f>
              <c:numCache>
                <c:formatCode>General</c:formatCode>
                <c:ptCount val="14"/>
                <c:pt idx="0">
                  <c:v>28</c:v>
                </c:pt>
                <c:pt idx="1">
                  <c:v>30</c:v>
                </c:pt>
                <c:pt idx="2">
                  <c:v>33</c:v>
                </c:pt>
                <c:pt idx="3">
                  <c:v>34.9</c:v>
                </c:pt>
                <c:pt idx="4">
                  <c:v>36</c:v>
                </c:pt>
                <c:pt idx="5">
                  <c:v>39</c:v>
                </c:pt>
                <c:pt idx="6">
                  <c:v>42</c:v>
                </c:pt>
                <c:pt idx="7">
                  <c:v>45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51.7</c:v>
                </c:pt>
                <c:pt idx="12">
                  <c:v>53</c:v>
                </c:pt>
                <c:pt idx="13">
                  <c:v>56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Sheet1!$H$2</c:f>
              <c:strCache>
                <c:ptCount val="1"/>
                <c:pt idx="0">
                  <c:v>NaCl</c:v>
                </c:pt>
              </c:strCache>
            </c:strRef>
          </c:tx>
          <c:spPr>
            <a:ln w="7611">
              <a:solidFill>
                <a:srgbClr val="00808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Sheet1!$H$3:$H$16</c:f>
              <c:numCache>
                <c:formatCode>General</c:formatCode>
                <c:ptCount val="14"/>
                <c:pt idx="0">
                  <c:v>37</c:v>
                </c:pt>
                <c:pt idx="1">
                  <c:v>37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39</c:v>
                </c:pt>
                <c:pt idx="7">
                  <c:v>39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Sheet1!$I$2</c:f>
              <c:strCache>
                <c:ptCount val="1"/>
                <c:pt idx="0">
                  <c:v>KClO3</c:v>
                </c:pt>
              </c:strCache>
            </c:strRef>
          </c:tx>
          <c:spPr>
            <a:ln w="7611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Sheet1!$I$3:$I$16</c:f>
              <c:numCache>
                <c:formatCode>General</c:formatCode>
                <c:ptCount val="14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16</c:v>
                </c:pt>
                <c:pt idx="6">
                  <c:v>21</c:v>
                </c:pt>
                <c:pt idx="7">
                  <c:v>27</c:v>
                </c:pt>
                <c:pt idx="8">
                  <c:v>32</c:v>
                </c:pt>
                <c:pt idx="9">
                  <c:v>36</c:v>
                </c:pt>
                <c:pt idx="10">
                  <c:v>40.5</c:v>
                </c:pt>
                <c:pt idx="11">
                  <c:v>44</c:v>
                </c:pt>
                <c:pt idx="12">
                  <c:v>48</c:v>
                </c:pt>
                <c:pt idx="13">
                  <c:v>59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Sheet1!$J$2</c:f>
              <c:strCache>
                <c:ptCount val="1"/>
                <c:pt idx="0">
                  <c:v>Ce2(SO4)3</c:v>
                </c:pt>
              </c:strCache>
            </c:strRef>
          </c:tx>
          <c:spPr>
            <a:ln w="7611">
              <a:solidFill>
                <a:srgbClr val="00CC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Sheet1!$J$3:$J$16</c:f>
              <c:numCache>
                <c:formatCode>General</c:formatCode>
                <c:ptCount val="14"/>
                <c:pt idx="0">
                  <c:v>18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yVal>
          <c:smooth val="1"/>
        </c:ser>
        <c:axId val="163652736"/>
        <c:axId val="163655040"/>
      </c:scatterChart>
      <c:valAx>
        <c:axId val="163652736"/>
        <c:scaling>
          <c:orientation val="minMax"/>
          <c:max val="100"/>
        </c:scaling>
        <c:axPos val="b"/>
        <c:majorGridlines>
          <c:spPr>
            <a:ln w="1903">
              <a:solidFill>
                <a:srgbClr val="000000"/>
              </a:solidFill>
              <a:prstDash val="solid"/>
            </a:ln>
          </c:spPr>
        </c:majorGridlines>
        <c:minorGridlines>
          <c:spPr>
            <a:ln w="1903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4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Temperature/Celsuis</a:t>
                </a:r>
              </a:p>
            </c:rich>
          </c:tx>
          <c:layout>
            <c:manualLayout>
              <c:xMode val="edge"/>
              <c:yMode val="edge"/>
              <c:x val="0.43721633888048417"/>
              <c:y val="0.96248534583821799"/>
            </c:manualLayout>
          </c:layout>
          <c:spPr>
            <a:noFill/>
            <a:ln w="15221">
              <a:noFill/>
            </a:ln>
          </c:spPr>
        </c:title>
        <c:numFmt formatCode="General" sourceLinked="1"/>
        <c:tickLblPos val="nextTo"/>
        <c:spPr>
          <a:ln w="19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655040"/>
        <c:crosses val="autoZero"/>
        <c:crossBetween val="midCat"/>
        <c:majorUnit val="10"/>
        <c:minorUnit val="10"/>
      </c:valAx>
      <c:valAx>
        <c:axId val="163655040"/>
        <c:scaling>
          <c:orientation val="minMax"/>
          <c:max val="150"/>
          <c:min val="0"/>
        </c:scaling>
        <c:axPos val="l"/>
        <c:majorGridlines>
          <c:spPr>
            <a:ln w="190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grams solute per 100 grams H2O</a:t>
                </a:r>
              </a:p>
            </c:rich>
          </c:tx>
          <c:layout>
            <c:manualLayout>
              <c:xMode val="edge"/>
              <c:yMode val="edge"/>
              <c:x val="1.6641452344931924E-2"/>
              <c:y val="0.40211019929660036"/>
            </c:manualLayout>
          </c:layout>
          <c:spPr>
            <a:noFill/>
            <a:ln w="15221">
              <a:noFill/>
            </a:ln>
          </c:spPr>
        </c:title>
        <c:numFmt formatCode="General" sourceLinked="1"/>
        <c:tickLblPos val="nextTo"/>
        <c:spPr>
          <a:ln w="19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652736"/>
        <c:crosses val="autoZero"/>
        <c:crossBetween val="midCat"/>
        <c:majorUnit val="10"/>
        <c:minorUnit val="2"/>
      </c:valAx>
      <c:spPr>
        <a:solidFill>
          <a:srgbClr val="FFFFFF"/>
        </a:solidFill>
        <a:ln w="1903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903">
      <a:solidFill>
        <a:srgbClr val="000000"/>
      </a:solidFill>
      <a:prstDash val="solid"/>
    </a:ln>
  </c:spPr>
  <c:txPr>
    <a:bodyPr/>
    <a:lstStyle/>
    <a:p>
      <a:pPr>
        <a:defRPr sz="47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chart>
    <c:title>
      <c:tx>
        <c:rich>
          <a:bodyPr/>
          <a:lstStyle/>
          <a:p>
            <a:pPr>
              <a:defRPr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Solubility Curves of Pure Substances</a:t>
            </a:r>
          </a:p>
        </c:rich>
      </c:tx>
      <c:layout>
        <c:manualLayout>
          <c:xMode val="edge"/>
          <c:yMode val="edge"/>
          <c:x val="0.33888048411497751"/>
          <c:y val="1.992966002344666E-2"/>
        </c:manualLayout>
      </c:layout>
      <c:spPr>
        <a:noFill/>
        <a:ln w="15221">
          <a:noFill/>
        </a:ln>
      </c:spPr>
    </c:title>
    <c:plotArea>
      <c:layout>
        <c:manualLayout>
          <c:layoutTarget val="inner"/>
          <c:xMode val="edge"/>
          <c:yMode val="edge"/>
          <c:x val="9.077155824508322E-2"/>
          <c:y val="8.9097303634232169E-2"/>
          <c:w val="0.87745839636913781"/>
          <c:h val="0.84173505275498262"/>
        </c:manualLayout>
      </c:layout>
      <c:scatterChart>
        <c:scatterStyle val="smoothMarker"/>
        <c:ser>
          <c:idx val="0"/>
          <c:order val="0"/>
          <c:tx>
            <c:strRef>
              <c:f>Sheet1!$B$2</c:f>
              <c:strCache>
                <c:ptCount val="1"/>
                <c:pt idx="0">
                  <c:v>KI</c:v>
                </c:pt>
              </c:strCache>
            </c:strRef>
          </c:tx>
          <c:spPr>
            <a:ln w="7611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Sheet1!$B$3:$B$16</c:f>
              <c:numCache>
                <c:formatCode>General</c:formatCode>
                <c:ptCount val="14"/>
                <c:pt idx="0">
                  <c:v>128</c:v>
                </c:pt>
                <c:pt idx="1">
                  <c:v>136</c:v>
                </c:pt>
                <c:pt idx="2">
                  <c:v>145</c:v>
                </c:pt>
                <c:pt idx="3">
                  <c:v>150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NaNO3</c:v>
                </c:pt>
              </c:strCache>
            </c:strRef>
          </c:tx>
          <c:spPr>
            <a:ln w="7611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Sheet1!$C$3:$C$16</c:f>
              <c:numCache>
                <c:formatCode>General</c:formatCode>
                <c:ptCount val="14"/>
                <c:pt idx="0">
                  <c:v>73</c:v>
                </c:pt>
                <c:pt idx="1">
                  <c:v>80</c:v>
                </c:pt>
                <c:pt idx="2">
                  <c:v>88</c:v>
                </c:pt>
                <c:pt idx="3">
                  <c:v>92</c:v>
                </c:pt>
                <c:pt idx="4">
                  <c:v>96</c:v>
                </c:pt>
                <c:pt idx="5">
                  <c:v>105</c:v>
                </c:pt>
                <c:pt idx="6">
                  <c:v>113</c:v>
                </c:pt>
                <c:pt idx="7">
                  <c:v>122</c:v>
                </c:pt>
                <c:pt idx="8">
                  <c:v>132</c:v>
                </c:pt>
                <c:pt idx="9">
                  <c:v>139</c:v>
                </c:pt>
                <c:pt idx="10">
                  <c:v>144</c:v>
                </c:pt>
                <c:pt idx="11">
                  <c:v>150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KNO3</c:v>
                </c:pt>
              </c:strCache>
            </c:strRef>
          </c:tx>
          <c:spPr>
            <a:ln w="7611">
              <a:solidFill>
                <a:srgbClr val="FFFF0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Sheet1!$D$3:$D$16</c:f>
              <c:numCache>
                <c:formatCode>General</c:formatCode>
                <c:ptCount val="14"/>
                <c:pt idx="0">
                  <c:v>15</c:v>
                </c:pt>
                <c:pt idx="1">
                  <c:v>23</c:v>
                </c:pt>
                <c:pt idx="2">
                  <c:v>34</c:v>
                </c:pt>
                <c:pt idx="3">
                  <c:v>40</c:v>
                </c:pt>
                <c:pt idx="4">
                  <c:v>48</c:v>
                </c:pt>
                <c:pt idx="5">
                  <c:v>62</c:v>
                </c:pt>
                <c:pt idx="6">
                  <c:v>81</c:v>
                </c:pt>
                <c:pt idx="7">
                  <c:v>103</c:v>
                </c:pt>
                <c:pt idx="8">
                  <c:v>130</c:v>
                </c:pt>
                <c:pt idx="9">
                  <c:v>150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NH3</c:v>
                </c:pt>
              </c:strCache>
            </c:strRef>
          </c:tx>
          <c:spPr>
            <a:ln w="7611">
              <a:solidFill>
                <a:srgbClr val="00FF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Sheet1!$E$3:$E$16</c:f>
              <c:numCache>
                <c:formatCode>General</c:formatCode>
                <c:ptCount val="14"/>
                <c:pt idx="0">
                  <c:v>90</c:v>
                </c:pt>
                <c:pt idx="1">
                  <c:v>70</c:v>
                </c:pt>
                <c:pt idx="2">
                  <c:v>55</c:v>
                </c:pt>
                <c:pt idx="3">
                  <c:v>48</c:v>
                </c:pt>
                <c:pt idx="4">
                  <c:v>41</c:v>
                </c:pt>
                <c:pt idx="5">
                  <c:v>35</c:v>
                </c:pt>
                <c:pt idx="6">
                  <c:v>28</c:v>
                </c:pt>
                <c:pt idx="7">
                  <c:v>22</c:v>
                </c:pt>
                <c:pt idx="8">
                  <c:v>18.399999999999999</c:v>
                </c:pt>
                <c:pt idx="9">
                  <c:v>16.5</c:v>
                </c:pt>
                <c:pt idx="10">
                  <c:v>14</c:v>
                </c:pt>
                <c:pt idx="11">
                  <c:v>12.6</c:v>
                </c:pt>
                <c:pt idx="12">
                  <c:v>11</c:v>
                </c:pt>
                <c:pt idx="13">
                  <c:v>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NH4Cl</c:v>
                </c:pt>
              </c:strCache>
            </c:strRef>
          </c:tx>
          <c:spPr>
            <a:ln w="7611">
              <a:solidFill>
                <a:srgbClr val="80008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Sheet1!$F$3:$F$16</c:f>
              <c:numCache>
                <c:formatCode>General</c:formatCode>
                <c:ptCount val="14"/>
                <c:pt idx="0">
                  <c:v>29</c:v>
                </c:pt>
                <c:pt idx="1">
                  <c:v>33</c:v>
                </c:pt>
                <c:pt idx="2">
                  <c:v>38</c:v>
                </c:pt>
                <c:pt idx="3">
                  <c:v>39.4</c:v>
                </c:pt>
                <c:pt idx="4">
                  <c:v>41.3</c:v>
                </c:pt>
                <c:pt idx="5">
                  <c:v>46</c:v>
                </c:pt>
                <c:pt idx="6">
                  <c:v>50</c:v>
                </c:pt>
                <c:pt idx="7">
                  <c:v>54.7</c:v>
                </c:pt>
                <c:pt idx="8">
                  <c:v>59</c:v>
                </c:pt>
                <c:pt idx="9">
                  <c:v>62</c:v>
                </c:pt>
                <c:pt idx="10">
                  <c:v>65</c:v>
                </c:pt>
                <c:pt idx="11">
                  <c:v>68</c:v>
                </c:pt>
                <c:pt idx="12">
                  <c:v>70</c:v>
                </c:pt>
                <c:pt idx="13">
                  <c:v>76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Sheet1!$G$2</c:f>
              <c:strCache>
                <c:ptCount val="1"/>
                <c:pt idx="0">
                  <c:v>KCl</c:v>
                </c:pt>
              </c:strCache>
            </c:strRef>
          </c:tx>
          <c:spPr>
            <a:ln w="7611">
              <a:solidFill>
                <a:srgbClr val="80000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Sheet1!$G$3:$G$16</c:f>
              <c:numCache>
                <c:formatCode>General</c:formatCode>
                <c:ptCount val="14"/>
                <c:pt idx="0">
                  <c:v>28</c:v>
                </c:pt>
                <c:pt idx="1">
                  <c:v>30</c:v>
                </c:pt>
                <c:pt idx="2">
                  <c:v>33</c:v>
                </c:pt>
                <c:pt idx="3">
                  <c:v>34.9</c:v>
                </c:pt>
                <c:pt idx="4">
                  <c:v>36</c:v>
                </c:pt>
                <c:pt idx="5">
                  <c:v>39</c:v>
                </c:pt>
                <c:pt idx="6">
                  <c:v>42</c:v>
                </c:pt>
                <c:pt idx="7">
                  <c:v>45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51.7</c:v>
                </c:pt>
                <c:pt idx="12">
                  <c:v>53</c:v>
                </c:pt>
                <c:pt idx="13">
                  <c:v>56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Sheet1!$H$2</c:f>
              <c:strCache>
                <c:ptCount val="1"/>
                <c:pt idx="0">
                  <c:v>NaCl</c:v>
                </c:pt>
              </c:strCache>
            </c:strRef>
          </c:tx>
          <c:spPr>
            <a:ln w="7611">
              <a:solidFill>
                <a:srgbClr val="008080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Sheet1!$H$3:$H$16</c:f>
              <c:numCache>
                <c:formatCode>General</c:formatCode>
                <c:ptCount val="14"/>
                <c:pt idx="0">
                  <c:v>37</c:v>
                </c:pt>
                <c:pt idx="1">
                  <c:v>37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39</c:v>
                </c:pt>
                <c:pt idx="7">
                  <c:v>39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Sheet1!$I$2</c:f>
              <c:strCache>
                <c:ptCount val="1"/>
                <c:pt idx="0">
                  <c:v>KClO3</c:v>
                </c:pt>
              </c:strCache>
            </c:strRef>
          </c:tx>
          <c:spPr>
            <a:ln w="7611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Sheet1!$I$3:$I$16</c:f>
              <c:numCache>
                <c:formatCode>General</c:formatCode>
                <c:ptCount val="14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16</c:v>
                </c:pt>
                <c:pt idx="6">
                  <c:v>21</c:v>
                </c:pt>
                <c:pt idx="7">
                  <c:v>27</c:v>
                </c:pt>
                <c:pt idx="8">
                  <c:v>32</c:v>
                </c:pt>
                <c:pt idx="9">
                  <c:v>36</c:v>
                </c:pt>
                <c:pt idx="10">
                  <c:v>40.5</c:v>
                </c:pt>
                <c:pt idx="11">
                  <c:v>44</c:v>
                </c:pt>
                <c:pt idx="12">
                  <c:v>48</c:v>
                </c:pt>
                <c:pt idx="13">
                  <c:v>59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Sheet1!$J$2</c:f>
              <c:strCache>
                <c:ptCount val="1"/>
                <c:pt idx="0">
                  <c:v>Ce2(SO4)3</c:v>
                </c:pt>
              </c:strCache>
            </c:strRef>
          </c:tx>
          <c:spPr>
            <a:ln w="7611">
              <a:solidFill>
                <a:srgbClr val="00CCFF"/>
              </a:solidFill>
              <a:prstDash val="solid"/>
            </a:ln>
          </c:spPr>
          <c:marker>
            <c:symbol val="square"/>
            <c:size val="2"/>
            <c:spPr>
              <a:noFill/>
              <a:ln w="5708">
                <a:noFill/>
              </a:ln>
            </c:spPr>
          </c:marker>
          <c:xVal>
            <c:numRef>
              <c:f>Sheet1!$A$3:$A$16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74.7</c:v>
                </c:pt>
                <c:pt idx="10">
                  <c:v>80</c:v>
                </c:pt>
                <c:pt idx="11">
                  <c:v>85</c:v>
                </c:pt>
                <c:pt idx="12">
                  <c:v>90</c:v>
                </c:pt>
                <c:pt idx="13">
                  <c:v>100</c:v>
                </c:pt>
              </c:numCache>
            </c:numRef>
          </c:xVal>
          <c:yVal>
            <c:numRef>
              <c:f>Sheet1!$J$3:$J$16</c:f>
              <c:numCache>
                <c:formatCode>General</c:formatCode>
                <c:ptCount val="14"/>
                <c:pt idx="0">
                  <c:v>18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yVal>
          <c:smooth val="1"/>
        </c:ser>
        <c:axId val="142646656"/>
        <c:axId val="163914112"/>
      </c:scatterChart>
      <c:valAx>
        <c:axId val="142646656"/>
        <c:scaling>
          <c:orientation val="minMax"/>
          <c:max val="100"/>
        </c:scaling>
        <c:axPos val="b"/>
        <c:majorGridlines>
          <c:spPr>
            <a:ln w="1903">
              <a:solidFill>
                <a:srgbClr val="000000"/>
              </a:solidFill>
              <a:prstDash val="solid"/>
            </a:ln>
          </c:spPr>
        </c:majorGridlines>
        <c:minorGridlines>
          <c:spPr>
            <a:ln w="1903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4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Temperature/Celsuis</a:t>
                </a:r>
              </a:p>
            </c:rich>
          </c:tx>
          <c:layout>
            <c:manualLayout>
              <c:xMode val="edge"/>
              <c:yMode val="edge"/>
              <c:x val="0.43721633888048417"/>
              <c:y val="0.96248534583821799"/>
            </c:manualLayout>
          </c:layout>
          <c:spPr>
            <a:noFill/>
            <a:ln w="15221">
              <a:noFill/>
            </a:ln>
          </c:spPr>
        </c:title>
        <c:numFmt formatCode="General" sourceLinked="1"/>
        <c:tickLblPos val="nextTo"/>
        <c:spPr>
          <a:ln w="19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914112"/>
        <c:crosses val="autoZero"/>
        <c:crossBetween val="midCat"/>
        <c:majorUnit val="10"/>
        <c:minorUnit val="10"/>
      </c:valAx>
      <c:valAx>
        <c:axId val="163914112"/>
        <c:scaling>
          <c:orientation val="minMax"/>
          <c:max val="150"/>
          <c:min val="0"/>
        </c:scaling>
        <c:axPos val="l"/>
        <c:majorGridlines>
          <c:spPr>
            <a:ln w="190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grams solute per 100 grams H2O</a:t>
                </a:r>
              </a:p>
            </c:rich>
          </c:tx>
          <c:layout>
            <c:manualLayout>
              <c:xMode val="edge"/>
              <c:yMode val="edge"/>
              <c:x val="1.6641452344931924E-2"/>
              <c:y val="0.40211019929660036"/>
            </c:manualLayout>
          </c:layout>
          <c:spPr>
            <a:noFill/>
            <a:ln w="15221">
              <a:noFill/>
            </a:ln>
          </c:spPr>
        </c:title>
        <c:numFmt formatCode="General" sourceLinked="1"/>
        <c:tickLblPos val="nextTo"/>
        <c:spPr>
          <a:ln w="19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646656"/>
        <c:crosses val="autoZero"/>
        <c:crossBetween val="midCat"/>
        <c:majorUnit val="10"/>
        <c:minorUnit val="2"/>
      </c:valAx>
      <c:spPr>
        <a:solidFill>
          <a:srgbClr val="FFFFFF"/>
        </a:solidFill>
        <a:ln w="1903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903">
      <a:solidFill>
        <a:srgbClr val="000000"/>
      </a:solidFill>
      <a:prstDash val="solid"/>
    </a:ln>
  </c:spPr>
  <c:txPr>
    <a:bodyPr/>
    <a:lstStyle/>
    <a:p>
      <a:pPr>
        <a:defRPr sz="47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0.1565</cdr:x>
      <cdr:y>0.1815</cdr:y>
    </cdr:from>
    <cdr:to>
      <cdr:x>0.223</cdr:x>
      <cdr:y>0.21775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5328" y="1474656"/>
          <a:ext cx="418686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KI</a:t>
          </a:r>
        </a:p>
      </cdr:txBody>
    </cdr:sp>
  </cdr:relSizeAnchor>
  <cdr:relSizeAnchor xmlns:cdr="http://schemas.openxmlformats.org/drawingml/2006/chartDrawing">
    <cdr:from>
      <cdr:x>0.362</cdr:x>
      <cdr:y>0.3415</cdr:y>
    </cdr:from>
    <cdr:to>
      <cdr:x>0.4905</cdr:x>
      <cdr:y>0.37775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79161" y="2774628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NaNO3</a:t>
          </a:r>
        </a:p>
      </cdr:txBody>
    </cdr:sp>
  </cdr:relSizeAnchor>
  <cdr:relSizeAnchor xmlns:cdr="http://schemas.openxmlformats.org/drawingml/2006/chartDrawing">
    <cdr:from>
      <cdr:x>0.4865</cdr:x>
      <cdr:y>0.446</cdr:y>
    </cdr:from>
    <cdr:to>
      <cdr:x>0.615</cdr:x>
      <cdr:y>0.48225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3016" y="3623672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KNO3</a:t>
          </a:r>
        </a:p>
      </cdr:txBody>
    </cdr:sp>
  </cdr:relSizeAnchor>
  <cdr:relSizeAnchor xmlns:cdr="http://schemas.openxmlformats.org/drawingml/2006/chartDrawing">
    <cdr:from>
      <cdr:x>0.55225</cdr:x>
      <cdr:y>0.8835</cdr:y>
    </cdr:from>
    <cdr:to>
      <cdr:x>0.7475</cdr:x>
      <cdr:y>0.91975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6980" y="7178283"/>
          <a:ext cx="122929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Ce2(SO4)3</a:t>
          </a:r>
        </a:p>
      </cdr:txBody>
    </cdr:sp>
  </cdr:relSizeAnchor>
  <cdr:relSizeAnchor xmlns:cdr="http://schemas.openxmlformats.org/drawingml/2006/chartDrawing">
    <cdr:from>
      <cdr:x>0.203</cdr:x>
      <cdr:y>0.573</cdr:y>
    </cdr:from>
    <cdr:to>
      <cdr:x>0.3315</cdr:x>
      <cdr:y>0.60925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8093" y="4655525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NH3</a:t>
          </a:r>
        </a:p>
      </cdr:txBody>
    </cdr:sp>
  </cdr:relSizeAnchor>
  <cdr:relSizeAnchor xmlns:cdr="http://schemas.openxmlformats.org/drawingml/2006/chartDrawing">
    <cdr:from>
      <cdr:x>0.3575</cdr:x>
      <cdr:y>0.8305</cdr:y>
    </cdr:from>
    <cdr:to>
      <cdr:x>0.486</cdr:x>
      <cdr:y>0.86675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0829" y="6747667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KClO3</a:t>
          </a:r>
        </a:p>
      </cdr:txBody>
    </cdr:sp>
  </cdr:relSizeAnchor>
  <cdr:relSizeAnchor xmlns:cdr="http://schemas.openxmlformats.org/drawingml/2006/chartDrawing">
    <cdr:from>
      <cdr:x>0.72175</cdr:x>
      <cdr:y>0.56875</cdr:y>
    </cdr:from>
    <cdr:to>
      <cdr:x>0.85025</cdr:x>
      <cdr:y>0.605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44156" y="4620994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NH4Cl</a:t>
          </a:r>
        </a:p>
      </cdr:txBody>
    </cdr:sp>
  </cdr:relSizeAnchor>
  <cdr:relSizeAnchor xmlns:cdr="http://schemas.openxmlformats.org/drawingml/2006/chartDrawing">
    <cdr:from>
      <cdr:x>0.64275</cdr:x>
      <cdr:y>0.65625</cdr:y>
    </cdr:from>
    <cdr:to>
      <cdr:x>0.77125</cdr:x>
      <cdr:y>0.6925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6770" y="5331916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KCl</a:t>
          </a:r>
        </a:p>
      </cdr:txBody>
    </cdr:sp>
  </cdr:relSizeAnchor>
  <cdr:relSizeAnchor xmlns:cdr="http://schemas.openxmlformats.org/drawingml/2006/chartDrawing">
    <cdr:from>
      <cdr:x>0.10125</cdr:x>
      <cdr:y>0.7</cdr:y>
    </cdr:from>
    <cdr:to>
      <cdr:x>0.22975</cdr:x>
      <cdr:y>0.73625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7473" y="5687378"/>
          <a:ext cx="809039" cy="294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NaCl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0.1565</cdr:x>
      <cdr:y>0.1815</cdr:y>
    </cdr:from>
    <cdr:to>
      <cdr:x>0.223</cdr:x>
      <cdr:y>0.21775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5328" y="1474656"/>
          <a:ext cx="418686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KI</a:t>
          </a:r>
        </a:p>
      </cdr:txBody>
    </cdr:sp>
  </cdr:relSizeAnchor>
  <cdr:relSizeAnchor xmlns:cdr="http://schemas.openxmlformats.org/drawingml/2006/chartDrawing">
    <cdr:from>
      <cdr:x>0.362</cdr:x>
      <cdr:y>0.3415</cdr:y>
    </cdr:from>
    <cdr:to>
      <cdr:x>0.4905</cdr:x>
      <cdr:y>0.37775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79161" y="2774628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NaNO3</a:t>
          </a:r>
        </a:p>
      </cdr:txBody>
    </cdr:sp>
  </cdr:relSizeAnchor>
  <cdr:relSizeAnchor xmlns:cdr="http://schemas.openxmlformats.org/drawingml/2006/chartDrawing">
    <cdr:from>
      <cdr:x>0.4865</cdr:x>
      <cdr:y>0.446</cdr:y>
    </cdr:from>
    <cdr:to>
      <cdr:x>0.615</cdr:x>
      <cdr:y>0.48225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3016" y="3623672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KNO3</a:t>
          </a:r>
        </a:p>
      </cdr:txBody>
    </cdr:sp>
  </cdr:relSizeAnchor>
  <cdr:relSizeAnchor xmlns:cdr="http://schemas.openxmlformats.org/drawingml/2006/chartDrawing">
    <cdr:from>
      <cdr:x>0.55225</cdr:x>
      <cdr:y>0.8835</cdr:y>
    </cdr:from>
    <cdr:to>
      <cdr:x>0.7475</cdr:x>
      <cdr:y>0.91975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6980" y="7178283"/>
          <a:ext cx="122929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Ce2(SO4)3</a:t>
          </a:r>
        </a:p>
      </cdr:txBody>
    </cdr:sp>
  </cdr:relSizeAnchor>
  <cdr:relSizeAnchor xmlns:cdr="http://schemas.openxmlformats.org/drawingml/2006/chartDrawing">
    <cdr:from>
      <cdr:x>0.203</cdr:x>
      <cdr:y>0.573</cdr:y>
    </cdr:from>
    <cdr:to>
      <cdr:x>0.3315</cdr:x>
      <cdr:y>0.60925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8093" y="4655525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NH3</a:t>
          </a:r>
        </a:p>
      </cdr:txBody>
    </cdr:sp>
  </cdr:relSizeAnchor>
  <cdr:relSizeAnchor xmlns:cdr="http://schemas.openxmlformats.org/drawingml/2006/chartDrawing">
    <cdr:from>
      <cdr:x>0.3575</cdr:x>
      <cdr:y>0.8305</cdr:y>
    </cdr:from>
    <cdr:to>
      <cdr:x>0.486</cdr:x>
      <cdr:y>0.86675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0829" y="6747667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KClO3</a:t>
          </a:r>
        </a:p>
      </cdr:txBody>
    </cdr:sp>
  </cdr:relSizeAnchor>
  <cdr:relSizeAnchor xmlns:cdr="http://schemas.openxmlformats.org/drawingml/2006/chartDrawing">
    <cdr:from>
      <cdr:x>0.72175</cdr:x>
      <cdr:y>0.56875</cdr:y>
    </cdr:from>
    <cdr:to>
      <cdr:x>0.85025</cdr:x>
      <cdr:y>0.605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44156" y="4620994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NH4Cl</a:t>
          </a:r>
        </a:p>
      </cdr:txBody>
    </cdr:sp>
  </cdr:relSizeAnchor>
  <cdr:relSizeAnchor xmlns:cdr="http://schemas.openxmlformats.org/drawingml/2006/chartDrawing">
    <cdr:from>
      <cdr:x>0.64275</cdr:x>
      <cdr:y>0.65625</cdr:y>
    </cdr:from>
    <cdr:to>
      <cdr:x>0.77125</cdr:x>
      <cdr:y>0.6925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6770" y="5331916"/>
          <a:ext cx="809039" cy="294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KCl</a:t>
          </a:r>
        </a:p>
      </cdr:txBody>
    </cdr:sp>
  </cdr:relSizeAnchor>
  <cdr:relSizeAnchor xmlns:cdr="http://schemas.openxmlformats.org/drawingml/2006/chartDrawing">
    <cdr:from>
      <cdr:x>0.10125</cdr:x>
      <cdr:y>0.7</cdr:y>
    </cdr:from>
    <cdr:to>
      <cdr:x>0.22975</cdr:x>
      <cdr:y>0.73625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7473" y="5687378"/>
          <a:ext cx="809039" cy="294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1175" b="0" i="0" strike="noStrike">
              <a:solidFill>
                <a:srgbClr val="000000"/>
              </a:solidFill>
              <a:latin typeface="Arial"/>
              <a:cs typeface="Arial"/>
            </a:rPr>
            <a:t>NaCl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>DSBN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Students of DSBN</dc:creator>
  <cp:keywords/>
  <dc:description/>
  <cp:lastModifiedBy>The Students of DSBN</cp:lastModifiedBy>
  <cp:revision>1</cp:revision>
  <dcterms:created xsi:type="dcterms:W3CDTF">2012-11-13T00:21:00Z</dcterms:created>
  <dcterms:modified xsi:type="dcterms:W3CDTF">2012-11-13T00:24:00Z</dcterms:modified>
</cp:coreProperties>
</file>